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b/>
          <w:bCs/>
        </w:rPr>
        <w:t xml:space="preserve">Klauzula informacyjna </w:t>
      </w:r>
    </w:p>
    <w:p>
      <w:pPr>
        <w:pStyle w:val="Normal"/>
        <w:spacing w:lineRule="auto" w:line="360"/>
        <w:jc w:val="both"/>
        <w:rPr/>
      </w:pPr>
      <w:r>
        <w:rPr/>
        <w:t xml:space="preserve">Zgodnie z art.13 ust. 1 i 2 Rozporządzenia Parlamentu Europejskiego i Rady (UE) 2016/679 z 27 kwietnia 2016 r. w sprawie ochrony osób fizycznych w związku z przetwarzaniem danych osobowych i w sprawie swobodnego przepływu takich danych z dnia 27 kwietnia 2016 r. zwanym dalej RODO informujemy, iż: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Administratorem Pani/Pana danych osobowych jest Miejski Ośrodek Pomocy Rodzinie w Zabrzu z siedzibą ul. 3 Maja 16, 41-800 Zabrze, tel. 32 277 78 00, </w:t>
      </w:r>
      <w:hyperlink r:id="rId2">
        <w:r>
          <w:rPr>
            <w:rStyle w:val="Czeinternetowe"/>
          </w:rPr>
          <w:t>mopr@zabrze.pol.pl</w:t>
        </w:r>
      </w:hyperlink>
      <w:r>
        <w:rPr/>
        <w:t xml:space="preserve">; 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Inspektorem ochrony danych w Miejskim Ośrodku Pomocy Rodzinie w Zabrzu jest Pan Michał Drozdowski, z którym można się skontaktować pod adresem </w:t>
      </w:r>
      <w:hyperlink r:id="rId3">
        <w:r>
          <w:rPr>
            <w:rStyle w:val="Czeinternetowe"/>
          </w:rPr>
          <w:t>iodo@mopr.zabrze.pl</w:t>
        </w:r>
      </w:hyperlink>
      <w:r>
        <w:rPr/>
        <w:t>, lub pod numerem telefonu tel. 32 277 78 48;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Pani/Pana dane osobowe </w:t>
      </w:r>
      <w:r>
        <w:rPr/>
        <w:t>są przetwarzane przez Miejski Ośrodek Pomocy Rodzinie w Zabrzu w celu prowadzenia rekrutacji do Programu „ Opieka wytchnieniowa – edycja 2020”. Podstawę prawną przetwarzania danych osobowych stanowi pisemna zgoda;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Pani/Pana dane osobowe będą przekazywane organizacjom pozarządowym współpracującymi z tutejszym ośrodkiem w ramach realizacji programu „Opieka wytchnieniowa – edycja 2020”. Dane osobowe mogą być udostępniane innym odbiorcom lub kategoriom odbiorców danych osobowych, którymi mogą być podmioty uprawione do uzyskania danych na podstawie obowiązującego prawa, gdy wystąpią z takim żądaniem w oparciu o stosowną podstawę prawną;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Pani/Pana dane osobowe będą przechowywane przez okres 5 lat od momentu zakończenia ww. projektu w celu realizacji niezbędnych zadań związanych z kontrolą dokumentacji projektowej;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Posiada Pani/Pan prawo do: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/>
      </w:pPr>
      <w:r>
        <w:rPr/>
        <w:t>dostępu do treści danych, na podstawie art. 15 RODO z zastrzeżeniem, że udostępniane dane osobowe nie mogą ujawniać danych osób trzecich ;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/>
      </w:pPr>
      <w:r>
        <w:rPr/>
        <w:t>sprostowania danych, na podstawie art. 16 RODO;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/>
      </w:pPr>
      <w:r>
        <w:rPr/>
        <w:t>żądania usunięcia danych po upływie okresu, o którym mowa w pkt. 6.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Ma Pan/Pani prawo wniesienia skargi do Prezesa Urzędu Ochrony Danych Osobowych, gdy uzna Pani/Pan, iż przetwarzanie danych osobowych z dnia 27 kwietnia 2016 r. 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Posiada Pani/Pan prawo do wycofania zgody w dowolnym momencie poprzez pisemne oświadczenie złożone do Administratora danych w jego placówce, listownie na adres: ul. 3 Maja 16, 41-800 Zabrze lub na adres e-mail: </w:t>
      </w:r>
      <w:hyperlink r:id="rId4">
        <w:r>
          <w:rPr>
            <w:rStyle w:val="Czeinternetowe"/>
          </w:rPr>
          <w:t>organizacyjny@mopr.zabrze.pl</w:t>
        </w:r>
      </w:hyperlink>
      <w:r>
        <w:rPr/>
        <w:t>. Wycofanie zgody nie wpływa na zgodność z prawem przetwarzania, którego dokonano na podstawie zgody przed jej cofnięciem. Jednocześnie wycofanie zgody n</w:t>
      </w:r>
      <w:r>
        <w:rPr/>
        <w:t>a</w:t>
      </w:r>
      <w:r>
        <w:rPr/>
        <w:t xml:space="preserve"> przetwarzanie danych jest równoznaczne z rezygnacją udziału w procesie rekrutacyjnym.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     </w:t>
      </w:r>
      <w:r>
        <w:rPr>
          <w:b w:val="false"/>
          <w:bCs w:val="false"/>
          <w:i/>
          <w:iCs/>
        </w:rPr>
        <w:t xml:space="preserve">Miejscowość i Data </w:t>
        <w:tab/>
        <w:tab/>
        <w:tab/>
        <w:tab/>
        <w:tab/>
        <w:tab/>
        <w:t>Podpis uczestnika</w:t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360" w:before="0" w:after="200"/>
        <w:ind w:left="0" w:right="0" w:hanging="0"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pl-PL"/>
        </w:rPr>
        <w:t xml:space="preserve">    ………………………………………</w:t>
      </w: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pl-PL"/>
        </w:rPr>
        <w:t>.                                          ……. …………………………………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340" w:top="997" w:footer="57" w:bottom="14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estern"/>
      <w:spacing w:before="100" w:after="0"/>
      <w:jc w:val="center"/>
      <w:rPr/>
    </w:pPr>
    <w:r>
      <w:rPr>
        <w:iCs/>
      </w:rPr>
      <w:t>Program</w:t>
    </w:r>
    <w:r>
      <w:rPr>
        <w:i/>
        <w:iCs/>
      </w:rPr>
      <w:t xml:space="preserve"> „Opieka wytchnieniowa” – edycja 2020</w:t>
    </w:r>
  </w:p>
  <w:p>
    <w:pPr>
      <w:pStyle w:val="Western"/>
      <w:tabs>
        <w:tab w:val="clear" w:pos="708"/>
        <w:tab w:val="left" w:pos="7230" w:leader="none"/>
      </w:tabs>
      <w:spacing w:before="100" w:after="0"/>
      <w:jc w:val="center"/>
      <w:rPr>
        <w:sz w:val="22"/>
        <w:szCs w:val="22"/>
      </w:rPr>
    </w:pPr>
    <w:r>
      <w:rPr>
        <w:sz w:val="22"/>
        <w:szCs w:val="22"/>
      </w:rPr>
      <w:t xml:space="preserve">współfinansowany przez Ministerstwo Rodziny, Pracy i Polityki Społecznej ze </w:t>
    </w:r>
    <w:r>
      <w:rPr/>
      <w:t>środków Funduszu Solidarnościowego</w:t>
    </w:r>
    <w:r>
      <w:rPr>
        <w:sz w:val="22"/>
        <w:szCs w:val="22"/>
      </w:rPr>
      <w:t>.</w:t>
    </w:r>
    <w:bookmarkStart w:id="0" w:name="_GoBack"/>
    <w:bookmarkEnd w:id="0"/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lang w:eastAsia="pl-PL"/>
      </w:rPr>
      <w:tab/>
      <w:tab/>
    </w:r>
    <w:r>
      <w:rPr/>
      <w:drawing>
        <wp:inline distT="0" distB="0" distL="0" distR="0">
          <wp:extent cx="2559685" cy="1080135"/>
          <wp:effectExtent l="0" t="0" r="0" b="0"/>
          <wp:docPr id="1" name="Obraz 2" descr="C:\Users\Piotr Paczull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Piotr Paczulla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968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05fa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05fa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629b5"/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w w:val="100"/>
    </w:rPr>
  </w:style>
  <w:style w:type="character" w:styleId="ListLabel8">
    <w:name w:val="ListLabel 8"/>
    <w:qFormat/>
    <w:rPr>
      <w:w w:val="100"/>
    </w:rPr>
  </w:style>
  <w:style w:type="character" w:styleId="ListLabel9">
    <w:name w:val="ListLabel 9"/>
    <w:qFormat/>
    <w:rPr>
      <w:w w:val="100"/>
    </w:rPr>
  </w:style>
  <w:style w:type="character" w:styleId="ListLabel10">
    <w:name w:val="ListLabel 10"/>
    <w:qFormat/>
    <w:rPr>
      <w:w w:val="100"/>
    </w:rPr>
  </w:style>
  <w:style w:type="character" w:styleId="ListLabel11">
    <w:name w:val="ListLabel 11"/>
    <w:qFormat/>
    <w:rPr>
      <w:w w:val="100"/>
    </w:rPr>
  </w:style>
  <w:style w:type="character" w:styleId="ListLabel12">
    <w:name w:val="ListLabel 12"/>
    <w:qFormat/>
    <w:rPr>
      <w:w w:val="100"/>
    </w:rPr>
  </w:style>
  <w:style w:type="character" w:styleId="ListLabel13">
    <w:name w:val="ListLabel 13"/>
    <w:qFormat/>
    <w:rPr>
      <w:w w:val="100"/>
    </w:rPr>
  </w:style>
  <w:style w:type="character" w:styleId="ListLabel14">
    <w:name w:val="ListLabel 14"/>
    <w:qFormat/>
    <w:rPr>
      <w:w w:val="100"/>
    </w:rPr>
  </w:style>
  <w:style w:type="character" w:styleId="ListLabel15">
    <w:name w:val="ListLabel 15"/>
    <w:qFormat/>
    <w:rPr>
      <w:rFonts w:ascii="Times New Roman" w:hAnsi="Times New Roman"/>
      <w:w w:val="100"/>
      <w:sz w:val="20"/>
    </w:rPr>
  </w:style>
  <w:style w:type="character" w:styleId="ListLabel16">
    <w:name w:val="ListLabel 16"/>
    <w:qFormat/>
    <w:rPr>
      <w:w w:val="100"/>
    </w:rPr>
  </w:style>
  <w:style w:type="character" w:styleId="ListLabel17">
    <w:name w:val="ListLabel 17"/>
    <w:qFormat/>
    <w:rPr>
      <w:w w:val="100"/>
    </w:rPr>
  </w:style>
  <w:style w:type="character" w:styleId="ListLabel18">
    <w:name w:val="ListLabel 18"/>
    <w:qFormat/>
    <w:rPr>
      <w:w w:val="100"/>
    </w:rPr>
  </w:style>
  <w:style w:type="character" w:styleId="ListLabel19">
    <w:name w:val="ListLabel 19"/>
    <w:qFormat/>
    <w:rPr>
      <w:w w:val="100"/>
    </w:rPr>
  </w:style>
  <w:style w:type="character" w:styleId="ListLabel20">
    <w:name w:val="ListLabel 20"/>
    <w:qFormat/>
    <w:rPr>
      <w:w w:val="100"/>
    </w:rPr>
  </w:style>
  <w:style w:type="character" w:styleId="ListLabel21">
    <w:name w:val="ListLabel 21"/>
    <w:qFormat/>
    <w:rPr>
      <w:w w:val="100"/>
    </w:rPr>
  </w:style>
  <w:style w:type="character" w:styleId="ListLabel22">
    <w:name w:val="ListLabel 22"/>
    <w:qFormat/>
    <w:rPr>
      <w:w w:val="100"/>
    </w:rPr>
  </w:style>
  <w:style w:type="character" w:styleId="ListLabel23">
    <w:name w:val="ListLabel 23"/>
    <w:qFormat/>
    <w:rPr>
      <w:w w:val="100"/>
    </w:rPr>
  </w:style>
  <w:style w:type="character" w:styleId="ListLabel24">
    <w:name w:val="ListLabel 24"/>
    <w:qFormat/>
    <w:rPr>
      <w:rFonts w:ascii="Times New Roman" w:hAnsi="Times New Roman" w:cs="Courier New"/>
      <w:sz w:val="18"/>
    </w:rPr>
  </w:style>
  <w:style w:type="character" w:styleId="ListLabel25">
    <w:name w:val="ListLabel 25"/>
    <w:qFormat/>
    <w:rPr>
      <w:w w:val="100"/>
    </w:rPr>
  </w:style>
  <w:style w:type="character" w:styleId="ListLabel26">
    <w:name w:val="ListLabel 26"/>
    <w:qFormat/>
    <w:rPr>
      <w:w w:val="100"/>
    </w:rPr>
  </w:style>
  <w:style w:type="character" w:styleId="ListLabel27">
    <w:name w:val="ListLabel 27"/>
    <w:qFormat/>
    <w:rPr>
      <w:w w:val="100"/>
    </w:rPr>
  </w:style>
  <w:style w:type="character" w:styleId="ListLabel28">
    <w:name w:val="ListLabel 28"/>
    <w:qFormat/>
    <w:rPr>
      <w:w w:val="100"/>
    </w:rPr>
  </w:style>
  <w:style w:type="character" w:styleId="ListLabel29">
    <w:name w:val="ListLabel 29"/>
    <w:qFormat/>
    <w:rPr>
      <w:w w:val="100"/>
    </w:rPr>
  </w:style>
  <w:style w:type="character" w:styleId="ListLabel30">
    <w:name w:val="ListLabel 30"/>
    <w:qFormat/>
    <w:rPr>
      <w:w w:val="100"/>
    </w:rPr>
  </w:style>
  <w:style w:type="character" w:styleId="ListLabel31">
    <w:name w:val="ListLabel 31"/>
    <w:qFormat/>
    <w:rPr>
      <w:w w:val="100"/>
    </w:rPr>
  </w:style>
  <w:style w:type="character" w:styleId="ListLabel32">
    <w:name w:val="ListLabel 32"/>
    <w:qFormat/>
    <w:rPr>
      <w:w w:val="100"/>
    </w:rPr>
  </w:style>
  <w:style w:type="character" w:styleId="ListLabel33">
    <w:name w:val="ListLabel 33"/>
    <w:qFormat/>
    <w:rPr>
      <w:rFonts w:ascii="Times New Roman" w:hAnsi="Times New Roman"/>
      <w:w w:val="100"/>
      <w:sz w:val="18"/>
    </w:rPr>
  </w:style>
  <w:style w:type="character" w:styleId="ListLabel34">
    <w:name w:val="ListLabel 34"/>
    <w:qFormat/>
    <w:rPr>
      <w:w w:val="100"/>
    </w:rPr>
  </w:style>
  <w:style w:type="character" w:styleId="ListLabel35">
    <w:name w:val="ListLabel 35"/>
    <w:qFormat/>
    <w:rPr>
      <w:w w:val="100"/>
    </w:rPr>
  </w:style>
  <w:style w:type="character" w:styleId="ListLabel36">
    <w:name w:val="ListLabel 36"/>
    <w:qFormat/>
    <w:rPr>
      <w:w w:val="100"/>
    </w:rPr>
  </w:style>
  <w:style w:type="character" w:styleId="ListLabel37">
    <w:name w:val="ListLabel 37"/>
    <w:qFormat/>
    <w:rPr>
      <w:w w:val="100"/>
    </w:rPr>
  </w:style>
  <w:style w:type="character" w:styleId="ListLabel38">
    <w:name w:val="ListLabel 38"/>
    <w:qFormat/>
    <w:rPr>
      <w:w w:val="100"/>
    </w:rPr>
  </w:style>
  <w:style w:type="character" w:styleId="ListLabel39">
    <w:name w:val="ListLabel 39"/>
    <w:qFormat/>
    <w:rPr>
      <w:w w:val="100"/>
    </w:rPr>
  </w:style>
  <w:style w:type="character" w:styleId="ListLabel40">
    <w:name w:val="ListLabel 40"/>
    <w:qFormat/>
    <w:rPr>
      <w:w w:val="100"/>
    </w:rPr>
  </w:style>
  <w:style w:type="character" w:styleId="ListLabel41">
    <w:name w:val="ListLabel 41"/>
    <w:qFormat/>
    <w:rPr>
      <w:w w:val="100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629b5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605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05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f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efe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51799"/>
    <w:pPr>
      <w:suppressAutoHyphens w:val="true"/>
      <w:spacing w:lineRule="auto" w:line="240" w:before="100" w:after="119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c38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pr@zabrze.pol.pl" TargetMode="External"/><Relationship Id="rId3" Type="http://schemas.openxmlformats.org/officeDocument/2006/relationships/hyperlink" Target="mailto:iodo@mopr.zabrze.pl" TargetMode="External"/><Relationship Id="rId4" Type="http://schemas.openxmlformats.org/officeDocument/2006/relationships/hyperlink" Target="mailto:organizacyjny@mopr.zabrze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LibreOffice/6.2.2.2$Windows_x86 LibreOffice_project/2b840030fec2aae0fd2658d8d4f9548af4e3518d</Application>
  <Pages>2</Pages>
  <Words>384</Words>
  <Characters>2337</Characters>
  <CharactersWithSpaces>2759</CharactersWithSpaces>
  <Paragraphs>18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2019-11-20T14:24:00Z</dcterms:created>
  <dc:creator>Aleksandra Szot</dc:creator>
  <dc:description/>
  <dc:language>pl-PL</dc:language>
  <cp:lastModifiedBy/>
  <cp:lastPrinted>2020-08-26T08:42:00Z</cp:lastPrinted>
  <dcterms:modified xsi:type="dcterms:W3CDTF">2020-08-27T15:25:00Z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